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57253CC3" w14:textId="7777777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477911" w:rsidRPr="00477911">
        <w:rPr>
          <w:rFonts w:ascii="Arial" w:hAnsi="Arial" w:cs="Arial"/>
          <w:b w:val="0"/>
          <w:sz w:val="22"/>
          <w:szCs w:val="22"/>
        </w:rPr>
        <w:t>Permanent (Subject to continuation of funding)</w:t>
      </w:r>
      <w:r w:rsidR="00477911" w:rsidRPr="00BB61ED">
        <w:rPr>
          <w:rFonts w:ascii="Arial" w:hAnsi="Arial" w:cs="Arial"/>
          <w:b w:val="0"/>
          <w:sz w:val="22"/>
          <w:szCs w:val="22"/>
        </w:rPr>
        <w:t xml:space="preserve">  </w:t>
      </w:r>
      <w:r w:rsidR="00477911" w:rsidRPr="00411412">
        <w:rPr>
          <w:rFonts w:ascii="Arial" w:hAnsi="Arial" w:cs="Arial"/>
          <w:b w:val="0"/>
          <w:sz w:val="22"/>
          <w:szCs w:val="22"/>
        </w:rPr>
        <w:t xml:space="preserve">                          </w:t>
      </w:r>
    </w:p>
    <w:p w14:paraId="57253CC4" w14:textId="77777777" w:rsidR="00F300AD" w:rsidRPr="00F300AD" w:rsidRDefault="00F300AD" w:rsidP="00E13A55">
      <w:pPr>
        <w:pStyle w:val="Subtitle"/>
        <w:ind w:left="2880" w:hanging="2880"/>
        <w:outlineLvl w:val="0"/>
        <w:rPr>
          <w:rFonts w:ascii="Arial" w:hAnsi="Arial" w:cs="Arial"/>
          <w:b w:val="0"/>
          <w:sz w:val="22"/>
          <w:szCs w:val="22"/>
        </w:rPr>
      </w:pPr>
    </w:p>
    <w:p w14:paraId="57253CC5" w14:textId="1B2313BD" w:rsidR="002573BF"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Salary</w:t>
      </w:r>
      <w:r w:rsidR="000F4B35">
        <w:rPr>
          <w:rFonts w:ascii="Arial" w:hAnsi="Arial" w:cs="Arial"/>
          <w:b/>
          <w:color w:val="1F4E79" w:themeColor="accent1" w:themeShade="80"/>
        </w:rPr>
        <w:t xml:space="preserve"> Scale</w:t>
      </w:r>
      <w:r w:rsidRPr="00411412">
        <w:rPr>
          <w:rFonts w:ascii="Arial" w:hAnsi="Arial" w:cs="Arial"/>
          <w:b/>
          <w:color w:val="1F4E79" w:themeColor="accent1" w:themeShade="80"/>
        </w:rPr>
        <w:t xml:space="preserve">: </w:t>
      </w:r>
      <w:r w:rsidRPr="00411412">
        <w:rPr>
          <w:rFonts w:ascii="Arial" w:hAnsi="Arial" w:cs="Arial"/>
          <w:b/>
        </w:rPr>
        <w:tab/>
      </w:r>
      <w:r w:rsidR="000F4B35" w:rsidRPr="000F4B35">
        <w:rPr>
          <w:rFonts w:ascii="Arial" w:hAnsi="Arial" w:cs="Arial"/>
        </w:rPr>
        <w:t>£24,722 - £28,397</w:t>
      </w:r>
      <w:r w:rsidR="000F4B35">
        <w:rPr>
          <w:rFonts w:ascii="Arial" w:hAnsi="Arial" w:cs="Arial"/>
        </w:rPr>
        <w:t xml:space="preserve"> </w:t>
      </w:r>
      <w:r w:rsidR="007B7A9A" w:rsidRPr="00411412">
        <w:rPr>
          <w:rFonts w:ascii="Arial" w:hAnsi="Arial" w:cs="Arial"/>
        </w:rPr>
        <w:t>per annum</w:t>
      </w:r>
      <w:r w:rsidR="007B7A9A">
        <w:rPr>
          <w:rFonts w:ascii="Arial" w:hAnsi="Arial" w:cs="Arial"/>
        </w:rPr>
        <w:t xml:space="preserve"> (</w:t>
      </w:r>
      <w:r w:rsidR="000F4B35">
        <w:rPr>
          <w:rFonts w:ascii="Arial" w:hAnsi="Arial" w:cs="Arial"/>
        </w:rPr>
        <w:t>pro-rata</w:t>
      </w:r>
      <w:r w:rsidR="007B7A9A">
        <w:rPr>
          <w:rFonts w:ascii="Arial" w:hAnsi="Arial" w:cs="Arial"/>
        </w:rPr>
        <w:t>)</w:t>
      </w:r>
      <w:r w:rsidR="000F4B35">
        <w:rPr>
          <w:rFonts w:ascii="Arial" w:hAnsi="Arial" w:cs="Arial"/>
        </w:rPr>
        <w:t xml:space="preserve"> </w:t>
      </w:r>
    </w:p>
    <w:p w14:paraId="73AFC3E1" w14:textId="77777777" w:rsidR="000F4B35" w:rsidRDefault="000F4B35" w:rsidP="00E13A55">
      <w:pPr>
        <w:spacing w:after="0" w:line="240" w:lineRule="auto"/>
        <w:ind w:left="2880" w:hanging="2880"/>
        <w:rPr>
          <w:rFonts w:ascii="Arial" w:hAnsi="Arial" w:cs="Arial"/>
        </w:rPr>
      </w:pPr>
    </w:p>
    <w:p w14:paraId="7E591028" w14:textId="1809DD93" w:rsidR="000F4B35" w:rsidRPr="00411412" w:rsidRDefault="000F4B35" w:rsidP="00E13A55">
      <w:pPr>
        <w:spacing w:after="0" w:line="240" w:lineRule="auto"/>
        <w:ind w:left="2880" w:hanging="2880"/>
        <w:rPr>
          <w:rFonts w:ascii="Arial" w:hAnsi="Arial" w:cs="Arial"/>
        </w:rPr>
      </w:pPr>
      <w:r w:rsidRPr="000F4B35">
        <w:rPr>
          <w:rFonts w:ascii="Arial" w:hAnsi="Arial" w:cs="Arial"/>
          <w:b/>
          <w:bCs/>
          <w:color w:val="2F5496" w:themeColor="accent5" w:themeShade="BF"/>
        </w:rPr>
        <w:t>Starting Salary:</w:t>
      </w:r>
      <w:r>
        <w:rPr>
          <w:rFonts w:ascii="Arial" w:hAnsi="Arial" w:cs="Arial"/>
        </w:rPr>
        <w:tab/>
        <w:t xml:space="preserve">£24,722 </w:t>
      </w:r>
    </w:p>
    <w:p w14:paraId="57253CC6" w14:textId="77777777" w:rsidR="002573BF" w:rsidRPr="00411412" w:rsidRDefault="002573BF" w:rsidP="00E13A55">
      <w:pPr>
        <w:spacing w:after="0" w:line="240" w:lineRule="auto"/>
        <w:rPr>
          <w:rFonts w:ascii="Arial" w:hAnsi="Arial" w:cs="Arial"/>
          <w:b/>
        </w:rPr>
      </w:pPr>
    </w:p>
    <w:p w14:paraId="57253CC7" w14:textId="639D4A71" w:rsidR="002573BF" w:rsidRPr="00411412" w:rsidRDefault="002573BF" w:rsidP="00E13A55">
      <w:pPr>
        <w:spacing w:after="0" w:line="240" w:lineRule="auto"/>
        <w:rPr>
          <w:rFonts w:ascii="Arial" w:hAnsi="Arial" w:cs="Arial"/>
          <w:b/>
        </w:rPr>
      </w:pPr>
      <w:r w:rsidRPr="00411412">
        <w:rPr>
          <w:rFonts w:ascii="Arial" w:hAnsi="Arial" w:cs="Arial"/>
          <w:b/>
          <w:color w:val="1F4E79" w:themeColor="accent1" w:themeShade="80"/>
        </w:rPr>
        <w:t>Based:</w:t>
      </w:r>
      <w:r w:rsidRPr="00411412">
        <w:rPr>
          <w:rFonts w:ascii="Arial" w:hAnsi="Arial" w:cs="Arial"/>
          <w:b/>
        </w:rPr>
        <w:tab/>
      </w:r>
      <w:r w:rsidRPr="00411412">
        <w:rPr>
          <w:rFonts w:ascii="Arial" w:hAnsi="Arial" w:cs="Arial"/>
          <w:b/>
        </w:rPr>
        <w:tab/>
      </w:r>
      <w:r w:rsidRPr="00411412">
        <w:rPr>
          <w:rFonts w:ascii="Arial" w:hAnsi="Arial" w:cs="Arial"/>
          <w:b/>
        </w:rPr>
        <w:tab/>
      </w:r>
      <w:r w:rsidR="000F4B35" w:rsidRPr="000F4B35">
        <w:rPr>
          <w:rFonts w:ascii="Arial" w:hAnsi="Arial" w:cs="Arial"/>
          <w:bCs/>
        </w:rPr>
        <w:t>Local to the</w:t>
      </w:r>
      <w:r w:rsidR="000F4B35">
        <w:rPr>
          <w:rFonts w:ascii="Arial" w:hAnsi="Arial" w:cs="Arial"/>
          <w:b/>
        </w:rPr>
        <w:t xml:space="preserve"> </w:t>
      </w:r>
      <w:r w:rsidR="00FF6378">
        <w:rPr>
          <w:rFonts w:ascii="Arial" w:hAnsi="Arial" w:cs="Arial"/>
        </w:rPr>
        <w:t>Trafford</w:t>
      </w:r>
      <w:r w:rsidR="000F4B35">
        <w:rPr>
          <w:rFonts w:ascii="Arial" w:hAnsi="Arial" w:cs="Arial"/>
        </w:rPr>
        <w:t xml:space="preserve"> area,</w:t>
      </w:r>
      <w:r w:rsidR="00E6481C">
        <w:rPr>
          <w:rFonts w:ascii="Arial" w:hAnsi="Arial" w:cs="Arial"/>
        </w:rPr>
        <w:t xml:space="preserve"> </w:t>
      </w:r>
      <w:r w:rsidR="000F4B35">
        <w:rPr>
          <w:rFonts w:ascii="Arial" w:hAnsi="Arial" w:cs="Arial"/>
        </w:rPr>
        <w:t>working r</w:t>
      </w:r>
      <w:r w:rsidR="00E6481C">
        <w:rPr>
          <w:rFonts w:ascii="Arial" w:hAnsi="Arial" w:cs="Arial"/>
        </w:rPr>
        <w:t>emote</w:t>
      </w:r>
      <w:r w:rsidR="000F4B35">
        <w:rPr>
          <w:rFonts w:ascii="Arial" w:hAnsi="Arial" w:cs="Arial"/>
        </w:rPr>
        <w:t>ly out in the community</w:t>
      </w:r>
    </w:p>
    <w:p w14:paraId="57253CC8" w14:textId="77777777" w:rsidR="002573BF" w:rsidRPr="00411412" w:rsidRDefault="002573BF" w:rsidP="00E13A55">
      <w:pPr>
        <w:spacing w:after="0" w:line="240" w:lineRule="auto"/>
        <w:rPr>
          <w:rFonts w:ascii="Arial" w:hAnsi="Arial" w:cs="Arial"/>
          <w:b/>
        </w:rPr>
      </w:pPr>
    </w:p>
    <w:p w14:paraId="57253CC9" w14:textId="77777777"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007C3A68">
        <w:rPr>
          <w:rFonts w:ascii="Arial" w:hAnsi="Arial" w:cs="Arial"/>
          <w:b/>
        </w:rPr>
        <w:tab/>
      </w:r>
      <w:r w:rsidR="007C3A68">
        <w:rPr>
          <w:rFonts w:ascii="Arial" w:hAnsi="Arial" w:cs="Arial"/>
          <w:b/>
        </w:rPr>
        <w:tab/>
      </w:r>
      <w:r w:rsidR="007C3A68">
        <w:rPr>
          <w:rFonts w:ascii="Arial" w:hAnsi="Arial" w:cs="Arial"/>
          <w:b/>
        </w:rPr>
        <w:tab/>
      </w:r>
      <w:r w:rsidR="004B5514">
        <w:rPr>
          <w:rFonts w:ascii="Arial" w:hAnsi="Arial" w:cs="Arial"/>
        </w:rPr>
        <w:t>37</w:t>
      </w:r>
      <w:r w:rsidRPr="00411412">
        <w:rPr>
          <w:rFonts w:ascii="Arial" w:hAnsi="Arial" w:cs="Arial"/>
        </w:rPr>
        <w:t xml:space="preserve"> hours</w:t>
      </w:r>
    </w:p>
    <w:p w14:paraId="48791E93" w14:textId="77777777" w:rsidR="00BF4E9D" w:rsidRDefault="00BF4E9D" w:rsidP="00E13A55">
      <w:pPr>
        <w:spacing w:after="0" w:line="240" w:lineRule="auto"/>
        <w:rPr>
          <w:rFonts w:ascii="Arial" w:hAnsi="Arial" w:cs="Arial"/>
        </w:rPr>
      </w:pPr>
    </w:p>
    <w:p w14:paraId="4E583633" w14:textId="4738B233" w:rsidR="00BF4E9D" w:rsidRDefault="00BF4E9D" w:rsidP="00BF4E9D">
      <w:pPr>
        <w:spacing w:after="0" w:line="240" w:lineRule="auto"/>
        <w:rPr>
          <w:rFonts w:ascii="Arial" w:hAnsi="Arial" w:cs="Arial"/>
        </w:rPr>
      </w:pPr>
      <w:r>
        <w:rPr>
          <w:rFonts w:ascii="Arial" w:hAnsi="Arial" w:cs="Arial"/>
          <w:b/>
          <w:color w:val="1F4E79" w:themeColor="accent1" w:themeShade="80"/>
        </w:rPr>
        <w:t>Responsible to</w:t>
      </w:r>
      <w:r w:rsidRPr="00411412">
        <w:rPr>
          <w:rFonts w:ascii="Arial" w:hAnsi="Arial" w:cs="Arial"/>
          <w:b/>
          <w:color w:val="1F4E79" w:themeColor="accent1" w:themeShade="80"/>
        </w:rPr>
        <w:t>:</w:t>
      </w:r>
      <w:r w:rsidRPr="00411412">
        <w:rPr>
          <w:rFonts w:ascii="Arial" w:hAnsi="Arial" w:cs="Arial"/>
          <w:b/>
          <w:color w:val="1F4E79" w:themeColor="accent1" w:themeShade="80"/>
        </w:rPr>
        <w:tab/>
      </w:r>
      <w:r>
        <w:rPr>
          <w:rFonts w:ascii="Arial" w:hAnsi="Arial" w:cs="Arial"/>
          <w:b/>
        </w:rPr>
        <w:tab/>
      </w:r>
      <w:r>
        <w:rPr>
          <w:rFonts w:ascii="Arial" w:hAnsi="Arial" w:cs="Arial"/>
        </w:rPr>
        <w:t>Advocacy Manager</w:t>
      </w:r>
    </w:p>
    <w:p w14:paraId="568884B7" w14:textId="77777777" w:rsidR="00BF4E9D" w:rsidRDefault="00BF4E9D" w:rsidP="00E13A55">
      <w:pPr>
        <w:spacing w:after="0" w:line="240" w:lineRule="auto"/>
        <w:rPr>
          <w:rFonts w:ascii="Arial" w:hAnsi="Arial" w:cs="Arial"/>
        </w:rPr>
      </w:pP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requirements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R</w:t>
      </w:r>
      <w:r w:rsidR="00426909" w:rsidRPr="00426909">
        <w:rPr>
          <w:rFonts w:ascii="Arial" w:eastAsia="Calibri" w:hAnsi="Arial" w:cs="Arial"/>
          <w:color w:val="000000"/>
          <w:lang w:eastAsia="en-GB"/>
        </w:rPr>
        <w:t>epresent Advocacy Focus at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flexible to support work across all service areas to meet referral, geographical and organisational demands</w:t>
      </w:r>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within Advocacy Focus’s policies and procedures</w:t>
      </w:r>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57253D1E" w14:textId="23D59245" w:rsidR="00375AC5" w:rsidRDefault="00375AC5" w:rsidP="00373336">
      <w:pPr>
        <w:pStyle w:val="Default"/>
        <w:jc w:val="both"/>
        <w:rPr>
          <w:rFonts w:ascii="Arial" w:hAnsi="Arial" w:cs="Arial"/>
          <w:sz w:val="22"/>
          <w:szCs w:val="22"/>
        </w:rPr>
      </w:pPr>
    </w:p>
    <w:p w14:paraId="1B6D4A8F" w14:textId="77777777" w:rsidR="000A25AE" w:rsidRPr="00D42114" w:rsidRDefault="000A25AE" w:rsidP="000A25A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2D795C45" w14:textId="77777777" w:rsidR="000A25AE" w:rsidRPr="00D42114" w:rsidRDefault="000A25AE"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2DE4C4A5" w14:textId="77777777" w:rsidR="00E13A5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57253D22" w14:textId="77777777" w:rsidR="000F4B35" w:rsidRPr="00516254" w:rsidRDefault="000F4B35" w:rsidP="00E13A55">
            <w:pPr>
              <w:pStyle w:val="Default"/>
              <w:rPr>
                <w:rFonts w:ascii="Arial" w:hAnsi="Arial" w:cs="Arial"/>
                <w:b/>
                <w:bCs/>
                <w:color w:val="1F4E79" w:themeColor="accent1" w:themeShade="80"/>
                <w:sz w:val="22"/>
                <w:szCs w:val="22"/>
              </w:rPr>
            </w:pP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licence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123D676B" w14:textId="77777777" w:rsidR="000F4B35" w:rsidRDefault="000F4B35" w:rsidP="000F4B35">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2C" w14:textId="4B1FE5F6" w:rsidR="00375AC5" w:rsidRPr="00D42114" w:rsidRDefault="00375AC5" w:rsidP="0026135F">
            <w:pPr>
              <w:pStyle w:val="Default"/>
              <w:jc w:val="both"/>
              <w:rPr>
                <w:rFonts w:ascii="Arial" w:hAnsi="Arial" w:cs="Arial"/>
                <w:sz w:val="22"/>
                <w:szCs w:val="22"/>
              </w:rPr>
            </w:pPr>
          </w:p>
        </w:tc>
      </w:tr>
      <w:tr w:rsidR="00375AC5" w:rsidRPr="00D42114" w14:paraId="57253D31" w14:textId="77777777" w:rsidTr="744AA1F9">
        <w:trPr>
          <w:trHeight w:val="112"/>
        </w:trPr>
        <w:tc>
          <w:tcPr>
            <w:tcW w:w="5206" w:type="dxa"/>
          </w:tcPr>
          <w:p w14:paraId="5A5C5E37" w14:textId="77777777" w:rsidR="00E13A55" w:rsidRDefault="000F4B35"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p w14:paraId="300FCDB7" w14:textId="77777777" w:rsidR="000F4B35" w:rsidRDefault="000F4B35" w:rsidP="0026135F">
            <w:pPr>
              <w:pStyle w:val="Default"/>
              <w:jc w:val="both"/>
              <w:rPr>
                <w:rFonts w:ascii="Arial" w:hAnsi="Arial" w:cs="Arial"/>
                <w:bCs/>
                <w:sz w:val="22"/>
                <w:szCs w:val="22"/>
              </w:rPr>
            </w:pPr>
          </w:p>
          <w:p w14:paraId="57253D2E" w14:textId="21C5EA02" w:rsidR="000F4B35" w:rsidRPr="00D42114" w:rsidRDefault="000F4B35" w:rsidP="0026135F">
            <w:pPr>
              <w:pStyle w:val="Default"/>
              <w:jc w:val="both"/>
              <w:rPr>
                <w:rFonts w:ascii="Arial" w:hAnsi="Arial" w:cs="Arial"/>
                <w:bCs/>
                <w:sz w:val="22"/>
                <w:szCs w:val="22"/>
              </w:rPr>
            </w:pPr>
          </w:p>
        </w:tc>
        <w:tc>
          <w:tcPr>
            <w:tcW w:w="5387" w:type="dxa"/>
          </w:tcPr>
          <w:p w14:paraId="5C18B9D5" w14:textId="77777777" w:rsidR="000F4B35" w:rsidRDefault="000F4B35" w:rsidP="000F4B35">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0" w14:textId="77777777" w:rsidR="00516254" w:rsidRPr="00D42114" w:rsidRDefault="00516254" w:rsidP="000F4B35">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1D66" w14:textId="77777777" w:rsidR="00CF1BEB" w:rsidRDefault="00CF1BEB" w:rsidP="00126D81">
      <w:pPr>
        <w:spacing w:after="0" w:line="240" w:lineRule="auto"/>
      </w:pPr>
      <w:r>
        <w:separator/>
      </w:r>
    </w:p>
  </w:endnote>
  <w:endnote w:type="continuationSeparator" w:id="0">
    <w:p w14:paraId="6918CCEE" w14:textId="77777777" w:rsidR="00CF1BEB" w:rsidRDefault="00CF1BEB"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B29D7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7472" w14:textId="77777777" w:rsidR="00CF1BEB" w:rsidRDefault="00CF1BEB" w:rsidP="00126D81">
      <w:pPr>
        <w:spacing w:after="0" w:line="240" w:lineRule="auto"/>
      </w:pPr>
      <w:r>
        <w:separator/>
      </w:r>
    </w:p>
  </w:footnote>
  <w:footnote w:type="continuationSeparator" w:id="0">
    <w:p w14:paraId="68999034" w14:textId="77777777" w:rsidR="00CF1BEB" w:rsidRDefault="00CF1BEB"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25AE"/>
    <w:rsid w:val="000F4B35"/>
    <w:rsid w:val="00126D81"/>
    <w:rsid w:val="00141D09"/>
    <w:rsid w:val="001E3573"/>
    <w:rsid w:val="00222B92"/>
    <w:rsid w:val="002446C7"/>
    <w:rsid w:val="002573BF"/>
    <w:rsid w:val="0026135F"/>
    <w:rsid w:val="00266EDD"/>
    <w:rsid w:val="002B3483"/>
    <w:rsid w:val="002C6E95"/>
    <w:rsid w:val="002F7499"/>
    <w:rsid w:val="00312370"/>
    <w:rsid w:val="00340D5F"/>
    <w:rsid w:val="003442D9"/>
    <w:rsid w:val="00373336"/>
    <w:rsid w:val="00375AC5"/>
    <w:rsid w:val="003905C0"/>
    <w:rsid w:val="003B5DC3"/>
    <w:rsid w:val="00411412"/>
    <w:rsid w:val="00426909"/>
    <w:rsid w:val="00435BC6"/>
    <w:rsid w:val="004770D8"/>
    <w:rsid w:val="00477911"/>
    <w:rsid w:val="004B5180"/>
    <w:rsid w:val="004B5514"/>
    <w:rsid w:val="00516254"/>
    <w:rsid w:val="00524BED"/>
    <w:rsid w:val="00546BA9"/>
    <w:rsid w:val="005B5517"/>
    <w:rsid w:val="00691D1E"/>
    <w:rsid w:val="006E62A5"/>
    <w:rsid w:val="00713837"/>
    <w:rsid w:val="00786E45"/>
    <w:rsid w:val="007B7A9A"/>
    <w:rsid w:val="007C3A68"/>
    <w:rsid w:val="00836EF3"/>
    <w:rsid w:val="008532D8"/>
    <w:rsid w:val="008551B3"/>
    <w:rsid w:val="0088572E"/>
    <w:rsid w:val="008C519E"/>
    <w:rsid w:val="008D1AD8"/>
    <w:rsid w:val="0093029A"/>
    <w:rsid w:val="00950FBC"/>
    <w:rsid w:val="009A5AA2"/>
    <w:rsid w:val="009F7E56"/>
    <w:rsid w:val="00A176A6"/>
    <w:rsid w:val="00A53297"/>
    <w:rsid w:val="00A568D5"/>
    <w:rsid w:val="00A82BBD"/>
    <w:rsid w:val="00A94E31"/>
    <w:rsid w:val="00B50F0A"/>
    <w:rsid w:val="00B940EC"/>
    <w:rsid w:val="00BE14F5"/>
    <w:rsid w:val="00BF4E9D"/>
    <w:rsid w:val="00C053B3"/>
    <w:rsid w:val="00C45086"/>
    <w:rsid w:val="00CC489A"/>
    <w:rsid w:val="00CF1BEB"/>
    <w:rsid w:val="00D368F1"/>
    <w:rsid w:val="00D42114"/>
    <w:rsid w:val="00D86B51"/>
    <w:rsid w:val="00DA355D"/>
    <w:rsid w:val="00DA605D"/>
    <w:rsid w:val="00DB5B3A"/>
    <w:rsid w:val="00E13A55"/>
    <w:rsid w:val="00E569DB"/>
    <w:rsid w:val="00E6481C"/>
    <w:rsid w:val="00E8096B"/>
    <w:rsid w:val="00E95E86"/>
    <w:rsid w:val="00EA7173"/>
    <w:rsid w:val="00EA725A"/>
    <w:rsid w:val="00ED4880"/>
    <w:rsid w:val="00EE6FBE"/>
    <w:rsid w:val="00F2534A"/>
    <w:rsid w:val="00F300AD"/>
    <w:rsid w:val="00F4749E"/>
    <w:rsid w:val="00F5356A"/>
    <w:rsid w:val="00F57AE3"/>
    <w:rsid w:val="00F656EC"/>
    <w:rsid w:val="00F85951"/>
    <w:rsid w:val="00FD29F1"/>
    <w:rsid w:val="00FF6378"/>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0C5D2-D315-4E4C-B784-A064BEF7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B5D76D8B-FD7B-478C-BE33-FE45E9B1BB39}">
  <ds:schemaRefs>
    <ds:schemaRef ds:uri="9489cefe-e371-406d-b9fc-91eb58062d48"/>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c4b5445f-0e53-4eba-972d-ac2e7ef1613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2025-05-16T06:40:00Z</dcterms:created>
  <dcterms:modified xsi:type="dcterms:W3CDTF">2025-05-16T06:40:00Z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35400</vt:r8>
  </property>
  <property fmtid="{D5CDD505-2E9C-101B-9397-08002B2CF9AE}" pid="4" name="MediaServiceImageTags">
    <vt:lpwstr/>
  </property>
</Properties>
</file>